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EF" w:rsidRDefault="000B7BEF" w:rsidP="00042764">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P 101</w:t>
      </w:r>
    </w:p>
    <w:p w:rsidR="00042764" w:rsidRDefault="004A3125" w:rsidP="00042764">
      <w:pPr>
        <w:spacing w:after="0" w:line="240" w:lineRule="auto"/>
        <w:jc w:val="both"/>
        <w:rPr>
          <w:rFonts w:ascii="Times New Roman" w:eastAsia="Times New Roman" w:hAnsi="Times New Roman" w:cs="Times New Roman"/>
          <w:b/>
          <w:bCs/>
        </w:rPr>
      </w:pPr>
      <w:r w:rsidRPr="00042764">
        <w:rPr>
          <w:rFonts w:ascii="Times New Roman" w:eastAsia="Times New Roman" w:hAnsi="Times New Roman" w:cs="Times New Roman"/>
          <w:b/>
          <w:bCs/>
        </w:rPr>
        <w:t>PANCITOPENIA SECUNDARIA A ENFERMEDAD DE GRAVES</w:t>
      </w:r>
    </w:p>
    <w:p w:rsidR="00042764" w:rsidRDefault="004A3125" w:rsidP="00042764">
      <w:pPr>
        <w:spacing w:after="0" w:line="240" w:lineRule="auto"/>
        <w:jc w:val="both"/>
        <w:rPr>
          <w:rFonts w:ascii="Times New Roman" w:eastAsia="Times New Roman" w:hAnsi="Times New Roman" w:cs="Times New Roman"/>
          <w:vertAlign w:val="superscript"/>
        </w:rPr>
      </w:pPr>
      <w:r w:rsidRPr="00042764">
        <w:rPr>
          <w:rFonts w:ascii="Times New Roman" w:eastAsia="Times New Roman" w:hAnsi="Times New Roman" w:cs="Times New Roman"/>
        </w:rPr>
        <w:t>Vaswani V.</w:t>
      </w:r>
      <w:r w:rsidRPr="00042764">
        <w:rPr>
          <w:rFonts w:ascii="Times New Roman" w:eastAsia="Times New Roman" w:hAnsi="Times New Roman" w:cs="Times New Roman"/>
          <w:vertAlign w:val="superscript"/>
        </w:rPr>
        <w:t>1</w:t>
      </w:r>
      <w:r w:rsidRPr="00042764">
        <w:rPr>
          <w:rFonts w:ascii="Times New Roman" w:eastAsia="Times New Roman" w:hAnsi="Times New Roman" w:cs="Times New Roman"/>
        </w:rPr>
        <w:t>, Echeverría L.</w:t>
      </w:r>
      <w:r w:rsidRPr="00042764">
        <w:rPr>
          <w:rFonts w:ascii="Times New Roman" w:eastAsia="Times New Roman" w:hAnsi="Times New Roman" w:cs="Times New Roman"/>
          <w:vertAlign w:val="superscript"/>
        </w:rPr>
        <w:t>1</w:t>
      </w:r>
      <w:r w:rsidRPr="00042764">
        <w:rPr>
          <w:rFonts w:ascii="Times New Roman" w:eastAsia="Times New Roman" w:hAnsi="Times New Roman" w:cs="Times New Roman"/>
        </w:rPr>
        <w:t>, Pérez F.</w:t>
      </w:r>
      <w:r w:rsidRPr="00042764">
        <w:rPr>
          <w:rFonts w:ascii="Times New Roman" w:eastAsia="Times New Roman" w:hAnsi="Times New Roman" w:cs="Times New Roman"/>
          <w:vertAlign w:val="superscript"/>
        </w:rPr>
        <w:t>1</w:t>
      </w:r>
      <w:r w:rsidRPr="00042764">
        <w:rPr>
          <w:rFonts w:ascii="Times New Roman" w:eastAsia="Times New Roman" w:hAnsi="Times New Roman" w:cs="Times New Roman"/>
        </w:rPr>
        <w:t>, Millar E.</w:t>
      </w:r>
      <w:r w:rsidRPr="00042764">
        <w:rPr>
          <w:rFonts w:ascii="Times New Roman" w:eastAsia="Times New Roman" w:hAnsi="Times New Roman" w:cs="Times New Roman"/>
          <w:vertAlign w:val="superscript"/>
        </w:rPr>
        <w:t>1</w:t>
      </w:r>
      <w:r w:rsidRPr="00042764">
        <w:rPr>
          <w:rFonts w:ascii="Times New Roman" w:eastAsia="Times New Roman" w:hAnsi="Times New Roman" w:cs="Times New Roman"/>
        </w:rPr>
        <w:t xml:space="preserve">, </w:t>
      </w:r>
      <w:proofErr w:type="spellStart"/>
      <w:r w:rsidRPr="00042764">
        <w:rPr>
          <w:rFonts w:ascii="Times New Roman" w:eastAsia="Times New Roman" w:hAnsi="Times New Roman" w:cs="Times New Roman"/>
        </w:rPr>
        <w:t>Giaveno</w:t>
      </w:r>
      <w:proofErr w:type="spellEnd"/>
      <w:r w:rsidRPr="00042764">
        <w:rPr>
          <w:rFonts w:ascii="Times New Roman" w:eastAsia="Times New Roman" w:hAnsi="Times New Roman" w:cs="Times New Roman"/>
        </w:rPr>
        <w:t xml:space="preserve"> L.</w:t>
      </w:r>
      <w:r w:rsidRPr="00042764">
        <w:rPr>
          <w:rFonts w:ascii="Times New Roman" w:eastAsia="Times New Roman" w:hAnsi="Times New Roman" w:cs="Times New Roman"/>
          <w:vertAlign w:val="superscript"/>
        </w:rPr>
        <w:t>1</w:t>
      </w:r>
      <w:r w:rsidRPr="00042764">
        <w:rPr>
          <w:rFonts w:ascii="Times New Roman" w:eastAsia="Times New Roman" w:hAnsi="Times New Roman" w:cs="Times New Roman"/>
        </w:rPr>
        <w:t>, Palma C.</w:t>
      </w:r>
      <w:r w:rsidRPr="00042764">
        <w:rPr>
          <w:rFonts w:ascii="Times New Roman" w:eastAsia="Times New Roman" w:hAnsi="Times New Roman" w:cs="Times New Roman"/>
          <w:vertAlign w:val="superscript"/>
        </w:rPr>
        <w:t>1</w:t>
      </w:r>
      <w:r w:rsidRPr="00042764">
        <w:rPr>
          <w:rFonts w:ascii="Times New Roman" w:eastAsia="Times New Roman" w:hAnsi="Times New Roman" w:cs="Times New Roman"/>
        </w:rPr>
        <w:t xml:space="preserve">, </w:t>
      </w:r>
      <w:proofErr w:type="spellStart"/>
      <w:r w:rsidRPr="00042764">
        <w:rPr>
          <w:rFonts w:ascii="Times New Roman" w:eastAsia="Times New Roman" w:hAnsi="Times New Roman" w:cs="Times New Roman"/>
        </w:rPr>
        <w:t>Escárate</w:t>
      </w:r>
      <w:proofErr w:type="spellEnd"/>
      <w:r w:rsidRPr="00042764">
        <w:rPr>
          <w:rFonts w:ascii="Times New Roman" w:eastAsia="Times New Roman" w:hAnsi="Times New Roman" w:cs="Times New Roman"/>
        </w:rPr>
        <w:t xml:space="preserve"> L.</w:t>
      </w:r>
      <w:r w:rsidRPr="00042764">
        <w:rPr>
          <w:rFonts w:ascii="Times New Roman" w:eastAsia="Times New Roman" w:hAnsi="Times New Roman" w:cs="Times New Roman"/>
          <w:vertAlign w:val="superscript"/>
        </w:rPr>
        <w:t>1</w:t>
      </w:r>
    </w:p>
    <w:p w:rsidR="00042764" w:rsidRDefault="004A3125" w:rsidP="00042764">
      <w:pPr>
        <w:spacing w:after="0" w:line="240" w:lineRule="auto"/>
        <w:jc w:val="both"/>
        <w:rPr>
          <w:rFonts w:ascii="Times New Roman" w:eastAsia="Times New Roman" w:hAnsi="Times New Roman" w:cs="Times New Roman"/>
        </w:rPr>
      </w:pPr>
      <w:r w:rsidRPr="00042764">
        <w:rPr>
          <w:rFonts w:ascii="Times New Roman" w:eastAsia="Times New Roman" w:hAnsi="Times New Roman" w:cs="Times New Roman"/>
          <w:vertAlign w:val="superscript"/>
        </w:rPr>
        <w:t>1</w:t>
      </w:r>
      <w:r w:rsidRPr="00042764">
        <w:rPr>
          <w:rFonts w:ascii="Times New Roman" w:eastAsia="Times New Roman" w:hAnsi="Times New Roman" w:cs="Times New Roman"/>
        </w:rPr>
        <w:t xml:space="preserve"> Departamento de Endocrinología - Hospital Barros Luco Trudeau</w:t>
      </w:r>
    </w:p>
    <w:p w:rsidR="0041217D" w:rsidRPr="00042764" w:rsidRDefault="004A3125" w:rsidP="00042764">
      <w:pPr>
        <w:spacing w:after="0" w:line="240" w:lineRule="auto"/>
        <w:jc w:val="both"/>
        <w:rPr>
          <w:rFonts w:ascii="Times New Roman" w:eastAsia="Times New Roman" w:hAnsi="Times New Roman" w:cs="Times New Roman"/>
        </w:rPr>
      </w:pPr>
      <w:r w:rsidRPr="00042764">
        <w:rPr>
          <w:rFonts w:ascii="Times New Roman" w:eastAsia="Times New Roman" w:hAnsi="Times New Roman" w:cs="Times New Roman"/>
          <w:b/>
          <w:bCs/>
        </w:rPr>
        <w:t xml:space="preserve">Contenido: </w:t>
      </w:r>
    </w:p>
    <w:p w:rsidR="0041217D" w:rsidRPr="00042764" w:rsidRDefault="004A3125" w:rsidP="00042764">
      <w:pPr>
        <w:pStyle w:val="NormalWeb"/>
        <w:spacing w:before="0" w:beforeAutospacing="0" w:after="0" w:afterAutospacing="0"/>
        <w:jc w:val="both"/>
        <w:rPr>
          <w:sz w:val="22"/>
          <w:szCs w:val="22"/>
        </w:rPr>
      </w:pPr>
      <w:r w:rsidRPr="00042764">
        <w:rPr>
          <w:sz w:val="22"/>
          <w:szCs w:val="22"/>
        </w:rPr>
        <w:t>Las manifestaciones hematológicas en hipertiroidismo generalmente se presentan como compromiso de una serie. La pancitopenia es rara como manifestación primaria. Presentamos el caso de un paciente, con antecedente de hipertiroidismo por enfermedad de Graves, con pancitopenia severa.</w:t>
      </w:r>
    </w:p>
    <w:p w:rsidR="00042764" w:rsidRPr="00042764" w:rsidRDefault="004A3125" w:rsidP="00042764">
      <w:pPr>
        <w:pStyle w:val="NormalWeb"/>
        <w:spacing w:before="0" w:beforeAutospacing="0" w:after="0" w:afterAutospacing="0"/>
        <w:jc w:val="both"/>
        <w:rPr>
          <w:rStyle w:val="Textoennegrita"/>
          <w:sz w:val="22"/>
          <w:szCs w:val="22"/>
        </w:rPr>
      </w:pPr>
      <w:r w:rsidRPr="00042764">
        <w:rPr>
          <w:rStyle w:val="Textoennegrita"/>
          <w:sz w:val="22"/>
          <w:szCs w:val="22"/>
        </w:rPr>
        <w:t>Caso clínico:</w:t>
      </w:r>
    </w:p>
    <w:p w:rsidR="00042764" w:rsidRDefault="004A3125" w:rsidP="00042764">
      <w:pPr>
        <w:pStyle w:val="NormalWeb"/>
        <w:spacing w:before="0" w:beforeAutospacing="0" w:after="0" w:afterAutospacing="0"/>
        <w:rPr>
          <w:sz w:val="22"/>
          <w:szCs w:val="22"/>
        </w:rPr>
      </w:pPr>
      <w:r w:rsidRPr="00042764">
        <w:rPr>
          <w:sz w:val="22"/>
          <w:szCs w:val="22"/>
        </w:rPr>
        <w:t xml:space="preserve">Hombre de 38 años, previamente obeso. Hace 4 años inicia baja de peso </w:t>
      </w:r>
      <w:proofErr w:type="gramStart"/>
      <w:r w:rsidRPr="00042764">
        <w:rPr>
          <w:sz w:val="22"/>
          <w:szCs w:val="22"/>
        </w:rPr>
        <w:t>( 42</w:t>
      </w:r>
      <w:proofErr w:type="gramEnd"/>
      <w:r w:rsidRPr="00042764">
        <w:rPr>
          <w:sz w:val="22"/>
          <w:szCs w:val="22"/>
        </w:rPr>
        <w:t xml:space="preserve"> kilos), asociado a edema de extremidades inferiores. </w:t>
      </w:r>
      <w:r w:rsidRPr="00042764">
        <w:rPr>
          <w:sz w:val="22"/>
          <w:szCs w:val="22"/>
        </w:rPr>
        <w:br/>
        <w:t xml:space="preserve">En 2016, es diagnosticado con hipertiroidismo (Enfermedad de Graves). Incidentalmente, se pesquisa pancitopenia. Abandona controles y tratamiento. </w:t>
      </w:r>
    </w:p>
    <w:p w:rsidR="00042764" w:rsidRDefault="004A3125" w:rsidP="00042764">
      <w:pPr>
        <w:pStyle w:val="NormalWeb"/>
        <w:spacing w:before="0" w:beforeAutospacing="0" w:after="0" w:afterAutospacing="0"/>
        <w:rPr>
          <w:sz w:val="22"/>
          <w:szCs w:val="22"/>
        </w:rPr>
      </w:pPr>
      <w:r w:rsidRPr="00042764">
        <w:rPr>
          <w:sz w:val="22"/>
          <w:szCs w:val="22"/>
        </w:rPr>
        <w:t xml:space="preserve">Evoluciona con fibrilación auricular. Manejado con beta bloqueo y </w:t>
      </w:r>
      <w:proofErr w:type="spellStart"/>
      <w:r w:rsidRPr="00042764">
        <w:rPr>
          <w:sz w:val="22"/>
          <w:szCs w:val="22"/>
        </w:rPr>
        <w:t>metimazol</w:t>
      </w:r>
      <w:proofErr w:type="spellEnd"/>
      <w:r w:rsidRPr="00042764">
        <w:rPr>
          <w:sz w:val="22"/>
          <w:szCs w:val="22"/>
        </w:rPr>
        <w:t xml:space="preserve">. Nuevamente abandona tratamiento. </w:t>
      </w:r>
    </w:p>
    <w:p w:rsidR="00042764" w:rsidRDefault="004A3125" w:rsidP="00042764">
      <w:pPr>
        <w:pStyle w:val="NormalWeb"/>
        <w:spacing w:before="0" w:beforeAutospacing="0" w:after="0" w:afterAutospacing="0"/>
        <w:rPr>
          <w:sz w:val="22"/>
          <w:szCs w:val="22"/>
        </w:rPr>
      </w:pPr>
      <w:r w:rsidRPr="00042764">
        <w:rPr>
          <w:sz w:val="22"/>
          <w:szCs w:val="22"/>
        </w:rPr>
        <w:t>En 2017, es derivado a nuestro hospital. Destaca enflaquecido, taquicárdico, con leve exoftalmo inactivo. Laboratorio:</w:t>
      </w:r>
    </w:p>
    <w:p w:rsidR="0041217D" w:rsidRPr="00042764" w:rsidRDefault="004A3125" w:rsidP="00042764">
      <w:pPr>
        <w:pStyle w:val="NormalWeb"/>
        <w:spacing w:before="0" w:beforeAutospacing="0" w:after="0" w:afterAutospacing="0"/>
        <w:rPr>
          <w:sz w:val="22"/>
          <w:szCs w:val="22"/>
        </w:rPr>
      </w:pPr>
      <w:r w:rsidRPr="00042764">
        <w:rPr>
          <w:sz w:val="22"/>
          <w:szCs w:val="22"/>
          <w:lang w:val="en-US"/>
        </w:rPr>
        <w:t xml:space="preserve">TSH &lt; 0.01 T4L: 6,12 T3: 540 Ac TPO: 1,306 UI/ml. </w:t>
      </w:r>
      <w:r w:rsidRPr="00042764">
        <w:rPr>
          <w:sz w:val="22"/>
          <w:szCs w:val="22"/>
          <w:lang w:val="en-US"/>
        </w:rPr>
        <w:br/>
      </w:r>
      <w:r w:rsidRPr="00042764">
        <w:rPr>
          <w:sz w:val="22"/>
          <w:szCs w:val="22"/>
        </w:rPr>
        <w:t xml:space="preserve">Hemograma anemia moderada arregenerativa leve </w:t>
      </w:r>
      <w:proofErr w:type="spellStart"/>
      <w:r w:rsidRPr="00042764">
        <w:rPr>
          <w:sz w:val="22"/>
          <w:szCs w:val="22"/>
        </w:rPr>
        <w:t>macrocitosis</w:t>
      </w:r>
      <w:proofErr w:type="spellEnd"/>
      <w:r w:rsidRPr="00042764">
        <w:rPr>
          <w:sz w:val="22"/>
          <w:szCs w:val="22"/>
        </w:rPr>
        <w:t xml:space="preserve">: </w:t>
      </w:r>
      <w:proofErr w:type="spellStart"/>
      <w:r w:rsidRPr="00042764">
        <w:rPr>
          <w:sz w:val="22"/>
          <w:szCs w:val="22"/>
        </w:rPr>
        <w:t>hb</w:t>
      </w:r>
      <w:proofErr w:type="spellEnd"/>
      <w:r w:rsidRPr="00042764">
        <w:rPr>
          <w:sz w:val="22"/>
          <w:szCs w:val="22"/>
        </w:rPr>
        <w:t xml:space="preserve"> 9,8 gr/dl, hematocrito: 28,6%, leucocitos: 2930 RAN 1230 plaquetas: 23.000</w:t>
      </w:r>
      <w:r w:rsidRPr="00042764">
        <w:rPr>
          <w:sz w:val="22"/>
          <w:szCs w:val="22"/>
        </w:rPr>
        <w:br/>
        <w:t xml:space="preserve">Por leucopenia se difiere uso de </w:t>
      </w:r>
      <w:proofErr w:type="spellStart"/>
      <w:r w:rsidRPr="00042764">
        <w:rPr>
          <w:sz w:val="22"/>
          <w:szCs w:val="22"/>
        </w:rPr>
        <w:t>metimazol</w:t>
      </w:r>
      <w:proofErr w:type="spellEnd"/>
      <w:r w:rsidRPr="00042764">
        <w:rPr>
          <w:sz w:val="22"/>
          <w:szCs w:val="22"/>
        </w:rPr>
        <w:t xml:space="preserve">. Reinicia beta bloqueo y se agrega </w:t>
      </w:r>
      <w:proofErr w:type="spellStart"/>
      <w:r w:rsidRPr="00042764">
        <w:rPr>
          <w:sz w:val="22"/>
          <w:szCs w:val="22"/>
        </w:rPr>
        <w:t>colestiramina</w:t>
      </w:r>
      <w:proofErr w:type="spellEnd"/>
      <w:r w:rsidRPr="00042764">
        <w:rPr>
          <w:sz w:val="22"/>
          <w:szCs w:val="22"/>
        </w:rPr>
        <w:t>.</w:t>
      </w:r>
      <w:r w:rsidRPr="00042764">
        <w:rPr>
          <w:sz w:val="22"/>
          <w:szCs w:val="22"/>
        </w:rPr>
        <w:br/>
        <w:t>Resto de estudio: Niveles de Vit. B12: 412. Cinética de fierro sin ferropenia.</w:t>
      </w:r>
      <w:r w:rsidRPr="00042764">
        <w:rPr>
          <w:sz w:val="22"/>
          <w:szCs w:val="22"/>
        </w:rPr>
        <w:br/>
        <w:t xml:space="preserve">Serología VHB, VHC, VIH, VDRL negativo. Perfil hepático: normal </w:t>
      </w:r>
      <w:r w:rsidRPr="00042764">
        <w:rPr>
          <w:sz w:val="22"/>
          <w:szCs w:val="22"/>
        </w:rPr>
        <w:br/>
        <w:t>Endoscopía digestiva alta sin alteraciones. TAC tórax, abdomen y pelvis sin alteraciones.</w:t>
      </w:r>
      <w:r w:rsidRPr="00042764">
        <w:rPr>
          <w:sz w:val="22"/>
          <w:szCs w:val="22"/>
        </w:rPr>
        <w:br/>
        <w:t>Orina completa: hematuria persistente. Cistoscopia y biopsia vesical descartan proceso neoplásico</w:t>
      </w:r>
      <w:r w:rsidRPr="00042764">
        <w:rPr>
          <w:sz w:val="22"/>
          <w:szCs w:val="22"/>
        </w:rPr>
        <w:br/>
        <w:t xml:space="preserve">Biopsia médula ósea: disminución de la población </w:t>
      </w:r>
      <w:proofErr w:type="spellStart"/>
      <w:r w:rsidRPr="00042764">
        <w:rPr>
          <w:sz w:val="22"/>
          <w:szCs w:val="22"/>
        </w:rPr>
        <w:t>megacariocítica</w:t>
      </w:r>
      <w:proofErr w:type="spellEnd"/>
      <w:r w:rsidRPr="00042764">
        <w:rPr>
          <w:sz w:val="22"/>
          <w:szCs w:val="22"/>
        </w:rPr>
        <w:t xml:space="preserve">, sin otros hallazgos. </w:t>
      </w:r>
      <w:r w:rsidRPr="00042764">
        <w:rPr>
          <w:sz w:val="22"/>
          <w:szCs w:val="22"/>
        </w:rPr>
        <w:br/>
        <w:t xml:space="preserve">Evoluciona con hipertiroidismo severo, pancitopenia persistente con trombocitopenia severa </w:t>
      </w:r>
      <w:proofErr w:type="gramStart"/>
      <w:r w:rsidRPr="00042764">
        <w:rPr>
          <w:sz w:val="22"/>
          <w:szCs w:val="22"/>
        </w:rPr>
        <w:t>( plaquetas</w:t>
      </w:r>
      <w:proofErr w:type="gramEnd"/>
      <w:r w:rsidRPr="00042764">
        <w:rPr>
          <w:sz w:val="22"/>
          <w:szCs w:val="22"/>
        </w:rPr>
        <w:t xml:space="preserve"> 18.000) Se sospecha pancitopenia secundaria a hipertiroidismo.</w:t>
      </w:r>
      <w:r w:rsidRPr="00042764">
        <w:rPr>
          <w:sz w:val="22"/>
          <w:szCs w:val="22"/>
        </w:rPr>
        <w:br/>
        <w:t xml:space="preserve">Inicia tratamiento con </w:t>
      </w:r>
      <w:proofErr w:type="spellStart"/>
      <w:r w:rsidRPr="00042764">
        <w:rPr>
          <w:sz w:val="22"/>
          <w:szCs w:val="22"/>
        </w:rPr>
        <w:t>metimazol</w:t>
      </w:r>
      <w:proofErr w:type="spellEnd"/>
      <w:r w:rsidRPr="00042764">
        <w:rPr>
          <w:sz w:val="22"/>
          <w:szCs w:val="22"/>
        </w:rPr>
        <w:t xml:space="preserve"> 10 mg. Tras 1 semana de tratamiento presenta mejoría hormonal y hematológica: TSH &lt;0.01 uUI/l, T4L: 2,88 ng/l, </w:t>
      </w:r>
      <w:proofErr w:type="spellStart"/>
      <w:r w:rsidRPr="00042764">
        <w:rPr>
          <w:sz w:val="22"/>
          <w:szCs w:val="22"/>
        </w:rPr>
        <w:t>Hb</w:t>
      </w:r>
      <w:proofErr w:type="spellEnd"/>
      <w:r w:rsidRPr="00042764">
        <w:rPr>
          <w:sz w:val="22"/>
          <w:szCs w:val="22"/>
        </w:rPr>
        <w:t xml:space="preserve"> 9 gr/dl, leucocitos: 3380/mm^3, plaquetas 36,000/mm^3. </w:t>
      </w:r>
      <w:r w:rsidRPr="00042764">
        <w:rPr>
          <w:sz w:val="22"/>
          <w:szCs w:val="22"/>
        </w:rPr>
        <w:br/>
        <w:t>Mantiene buena adherencia, con evolución favorable. Últimos exámenes:</w:t>
      </w:r>
      <w:r w:rsidRPr="00042764">
        <w:rPr>
          <w:sz w:val="22"/>
          <w:szCs w:val="22"/>
        </w:rPr>
        <w:br/>
        <w:t xml:space="preserve">TSH 0,01; T4L: 1,25; T3: 227. Hemograma: </w:t>
      </w:r>
      <w:proofErr w:type="spellStart"/>
      <w:r w:rsidRPr="00042764">
        <w:rPr>
          <w:sz w:val="22"/>
          <w:szCs w:val="22"/>
        </w:rPr>
        <w:t>Hto</w:t>
      </w:r>
      <w:proofErr w:type="spellEnd"/>
      <w:r w:rsidRPr="00042764">
        <w:rPr>
          <w:sz w:val="22"/>
          <w:szCs w:val="22"/>
        </w:rPr>
        <w:t xml:space="preserve"> 43,3 </w:t>
      </w:r>
      <w:proofErr w:type="spellStart"/>
      <w:r w:rsidRPr="00042764">
        <w:rPr>
          <w:sz w:val="22"/>
          <w:szCs w:val="22"/>
        </w:rPr>
        <w:t>fl</w:t>
      </w:r>
      <w:proofErr w:type="spellEnd"/>
      <w:r w:rsidRPr="00042764">
        <w:rPr>
          <w:sz w:val="22"/>
          <w:szCs w:val="22"/>
        </w:rPr>
        <w:t xml:space="preserve">, </w:t>
      </w:r>
      <w:proofErr w:type="spellStart"/>
      <w:r w:rsidRPr="00042764">
        <w:rPr>
          <w:sz w:val="22"/>
          <w:szCs w:val="22"/>
        </w:rPr>
        <w:t>Hb</w:t>
      </w:r>
      <w:proofErr w:type="spellEnd"/>
      <w:r w:rsidRPr="00042764">
        <w:rPr>
          <w:sz w:val="22"/>
          <w:szCs w:val="22"/>
        </w:rPr>
        <w:t xml:space="preserve"> 14,9 gr/</w:t>
      </w:r>
      <w:proofErr w:type="gramStart"/>
      <w:r w:rsidRPr="00042764">
        <w:rPr>
          <w:sz w:val="22"/>
          <w:szCs w:val="22"/>
        </w:rPr>
        <w:t>dl ,</w:t>
      </w:r>
      <w:proofErr w:type="gramEnd"/>
      <w:r w:rsidRPr="00042764">
        <w:rPr>
          <w:sz w:val="22"/>
          <w:szCs w:val="22"/>
        </w:rPr>
        <w:t xml:space="preserve"> VCM 104 , leucocitos: 6060, RAN: 4757 Plaquetas: 83.000. </w:t>
      </w:r>
      <w:proofErr w:type="spellStart"/>
      <w:r w:rsidRPr="00042764">
        <w:rPr>
          <w:sz w:val="22"/>
          <w:szCs w:val="22"/>
        </w:rPr>
        <w:t>Trab</w:t>
      </w:r>
      <w:proofErr w:type="spellEnd"/>
      <w:r w:rsidRPr="00042764">
        <w:rPr>
          <w:sz w:val="22"/>
          <w:szCs w:val="22"/>
        </w:rPr>
        <w:t>: pendientes.</w:t>
      </w:r>
    </w:p>
    <w:p w:rsidR="0041217D" w:rsidRPr="00042764" w:rsidRDefault="004A3125" w:rsidP="00042764">
      <w:pPr>
        <w:pStyle w:val="NormalWeb"/>
        <w:spacing w:before="0" w:beforeAutospacing="0" w:after="0" w:afterAutospacing="0"/>
        <w:rPr>
          <w:sz w:val="22"/>
          <w:szCs w:val="22"/>
        </w:rPr>
      </w:pPr>
      <w:r w:rsidRPr="00042764">
        <w:rPr>
          <w:rStyle w:val="Textoennegrita"/>
          <w:sz w:val="22"/>
          <w:szCs w:val="22"/>
        </w:rPr>
        <w:t>Discusión:</w:t>
      </w:r>
    </w:p>
    <w:p w:rsidR="0041217D" w:rsidRPr="00042764" w:rsidRDefault="004A3125" w:rsidP="00042764">
      <w:pPr>
        <w:pStyle w:val="NormalWeb"/>
        <w:spacing w:before="0" w:beforeAutospacing="0" w:after="0" w:afterAutospacing="0"/>
        <w:rPr>
          <w:sz w:val="22"/>
          <w:szCs w:val="22"/>
        </w:rPr>
      </w:pPr>
      <w:r w:rsidRPr="00042764">
        <w:rPr>
          <w:sz w:val="22"/>
          <w:szCs w:val="22"/>
        </w:rPr>
        <w:t xml:space="preserve">La enfermedad de Graves es causada por anticuerpos anti tiroideos, siendo la principal causa de hipertiroidismo. </w:t>
      </w:r>
      <w:r w:rsidRPr="00042764">
        <w:rPr>
          <w:sz w:val="22"/>
          <w:szCs w:val="22"/>
        </w:rPr>
        <w:br/>
        <w:t xml:space="preserve">El compromiso hematológico, es poco frecuente y aún más, el compromiso de las tres series. </w:t>
      </w:r>
      <w:r w:rsidRPr="00042764">
        <w:rPr>
          <w:sz w:val="22"/>
          <w:szCs w:val="22"/>
        </w:rPr>
        <w:br/>
        <w:t xml:space="preserve">Se desconoce la fisiopatología, de la pancitopenia en la enfermedad de Graves. </w:t>
      </w:r>
      <w:r w:rsidRPr="00042764">
        <w:rPr>
          <w:sz w:val="22"/>
          <w:szCs w:val="22"/>
        </w:rPr>
        <w:br/>
        <w:t xml:space="preserve">Parece obedecer a un mecanismo multifactorial, con diversos fenómenos fisiopatológicos involucrados: aumento de hormonas tiroideas circulantes provocando hematopoyesis ineficaz, disminución de la vida media de las células sanguíneas (destrucción inmune y posible secuestro), mecanismos autoinmunes </w:t>
      </w:r>
      <w:proofErr w:type="gramStart"/>
      <w:r w:rsidRPr="00042764">
        <w:rPr>
          <w:sz w:val="22"/>
          <w:szCs w:val="22"/>
        </w:rPr>
        <w:t>( presencia</w:t>
      </w:r>
      <w:proofErr w:type="gramEnd"/>
      <w:r w:rsidRPr="00042764">
        <w:rPr>
          <w:sz w:val="22"/>
          <w:szCs w:val="22"/>
        </w:rPr>
        <w:t xml:space="preserve"> de anticuerpos anti-neutrófilos y anti-plaquetas) y toxicidad directa a la médula ósea. </w:t>
      </w:r>
      <w:r w:rsidRPr="00042764">
        <w:rPr>
          <w:sz w:val="22"/>
          <w:szCs w:val="22"/>
        </w:rPr>
        <w:br/>
        <w:t xml:space="preserve">La duración y la severidad de la manifestación </w:t>
      </w:r>
      <w:proofErr w:type="gramStart"/>
      <w:r w:rsidRPr="00042764">
        <w:rPr>
          <w:sz w:val="22"/>
          <w:szCs w:val="22"/>
        </w:rPr>
        <w:t>es</w:t>
      </w:r>
      <w:proofErr w:type="gramEnd"/>
      <w:r w:rsidRPr="00042764">
        <w:rPr>
          <w:sz w:val="22"/>
          <w:szCs w:val="22"/>
        </w:rPr>
        <w:t xml:space="preserve"> variable, pero mejora una vez alcanzado el eutiroidismo.</w:t>
      </w:r>
    </w:p>
    <w:p w:rsidR="004A3125" w:rsidRPr="00042764" w:rsidRDefault="004A3125" w:rsidP="00042764">
      <w:pPr>
        <w:spacing w:after="0" w:line="240" w:lineRule="auto"/>
        <w:jc w:val="both"/>
        <w:rPr>
          <w:rFonts w:ascii="Times New Roman" w:eastAsia="Times New Roman" w:hAnsi="Times New Roman" w:cs="Times New Roman"/>
        </w:rPr>
      </w:pPr>
      <w:r w:rsidRPr="00042764">
        <w:rPr>
          <w:rFonts w:ascii="Times New Roman" w:eastAsia="Times New Roman" w:hAnsi="Times New Roman" w:cs="Times New Roman"/>
          <w:b/>
          <w:bCs/>
        </w:rPr>
        <w:t xml:space="preserve">Financiamiento: </w:t>
      </w:r>
      <w:r w:rsidRPr="00042764">
        <w:rPr>
          <w:rFonts w:ascii="Times New Roman" w:eastAsia="Times New Roman" w:hAnsi="Times New Roman" w:cs="Times New Roman"/>
        </w:rPr>
        <w:t xml:space="preserve">Sin financiamiento </w:t>
      </w:r>
    </w:p>
    <w:sectPr w:rsidR="004A3125" w:rsidRPr="00042764" w:rsidSect="0041217D">
      <w:pgSz w:w="12240" w:h="15840"/>
      <w:pgMar w:top="600" w:right="600" w:bottom="60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F23CF"/>
    <w:rsid w:val="00042764"/>
    <w:rsid w:val="000B7BEF"/>
    <w:rsid w:val="0041217D"/>
    <w:rsid w:val="004A3125"/>
    <w:rsid w:val="005A521F"/>
    <w:rsid w:val="006D6FE2"/>
    <w:rsid w:val="00EF23C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17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1217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4121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2664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4</cp:revision>
  <cp:lastPrinted>2018-08-10T16:24:00Z</cp:lastPrinted>
  <dcterms:created xsi:type="dcterms:W3CDTF">2018-08-10T16:24:00Z</dcterms:created>
  <dcterms:modified xsi:type="dcterms:W3CDTF">2018-09-30T21:30:00Z</dcterms:modified>
</cp:coreProperties>
</file>